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ПОЯСНИТЕЛЬНАЯ ЗАПИСКА</w:t>
      </w:r>
    </w:p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 проекту Закона Новосибирской области «</w:t>
      </w:r>
      <w:r>
        <w:rPr>
          <w:rFonts w:ascii="Times New Roman" w:hAnsi="Times New Roman"/>
          <w:b w:val="1"/>
          <w:sz w:val="28"/>
        </w:rPr>
        <w:t xml:space="preserve">О внесении изменений в статью 2.4 Закона Новосибирской области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/>
          <w:b w:val="1"/>
          <w:sz w:val="28"/>
        </w:rPr>
        <w:t xml:space="preserve">» </w:t>
      </w:r>
    </w:p>
    <w:p w14:paraId="0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sz w:val="28"/>
        </w:rPr>
        <w:t>Разработка проекта Закона Новосибирской области «</w:t>
      </w:r>
      <w:r>
        <w:rPr>
          <w:rFonts w:ascii="Times New Roman" w:hAnsi="Times New Roman"/>
          <w:b w:val="0"/>
          <w:sz w:val="28"/>
        </w:rPr>
        <w:t xml:space="preserve">О внесении изменений в статью 2.4 Закона Новосибирской области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обусловлена необходимостью уточнения процедуры применения налоговых льгот.</w:t>
      </w:r>
    </w:p>
    <w:p w14:paraId="09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Указанной статьей</w:t>
      </w:r>
      <w:r>
        <w:rPr>
          <w:rFonts w:ascii="Times New Roman" w:hAnsi="Times New Roman"/>
          <w:b w:val="0"/>
          <w:color w:val="000000"/>
          <w:sz w:val="28"/>
        </w:rPr>
        <w:t xml:space="preserve"> установлены н</w:t>
      </w:r>
      <w:r>
        <w:rPr>
          <w:rFonts w:ascii="Times New Roman" w:hAnsi="Times New Roman"/>
          <w:b w:val="0"/>
          <w:color w:val="000000"/>
          <w:sz w:val="28"/>
        </w:rPr>
        <w:t xml:space="preserve">алоговые льготы по транспортному налогу, основания и порядок их применения налогоплательщиками. </w:t>
      </w:r>
      <w:r>
        <w:rPr>
          <w:rFonts w:ascii="Times New Roman" w:hAnsi="Times New Roman"/>
          <w:b w:val="0"/>
          <w:color w:val="000000"/>
          <w:sz w:val="28"/>
        </w:rPr>
        <w:t>Однако условия применения этих льгот ограничивают установленные Налоговым кодексом Российской Федерации (НК РФ) права налогоплательщиков, так как в качестве основания предусматривают предоставл</w:t>
      </w:r>
      <w:r>
        <w:rPr>
          <w:rFonts w:ascii="Times New Roman" w:hAnsi="Times New Roman"/>
          <w:b w:val="0"/>
          <w:color w:val="000000"/>
          <w:sz w:val="28"/>
        </w:rPr>
        <w:t xml:space="preserve">ение </w:t>
      </w:r>
      <w:r>
        <w:rPr>
          <w:rFonts w:ascii="Times New Roman" w:hAnsi="Times New Roman"/>
          <w:b w:val="0"/>
          <w:color w:val="000000"/>
          <w:sz w:val="28"/>
        </w:rPr>
        <w:t>заявления от налогоплательщика</w:t>
      </w:r>
      <w:r>
        <w:rPr>
          <w:rFonts w:ascii="Times New Roman" w:hAnsi="Times New Roman"/>
          <w:b w:val="0"/>
          <w:color w:val="000000"/>
          <w:sz w:val="28"/>
        </w:rPr>
        <w:t>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силу п.3 ст. 361.1 НК РФ  н</w:t>
      </w:r>
      <w:r>
        <w:rPr>
          <w:rFonts w:ascii="Times New Roman" w:hAnsi="Times New Roman"/>
          <w:b w:val="0"/>
          <w:color w:val="000000"/>
          <w:sz w:val="28"/>
          <w:u w:val="none"/>
        </w:rPr>
        <w:t>алогоплательщики, имеющие право на налоговые льготы, установленные законодательством о налогах и сборах, представляют в налоговый орган по своему выбору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u w:val="none"/>
        </w:rPr>
        <w:t>заявление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о предоставлении налоговой льготы, а также вправе представить документы, подтверждающие право налогоплательщика на налоговую льготу. 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В случае, если налогоплательщик, имеющий право на налоговую льготу, </w:t>
      </w:r>
      <w:r>
        <w:rPr>
          <w:rFonts w:ascii="Times New Roman" w:hAnsi="Times New Roman"/>
          <w:b w:val="0"/>
          <w:color w:val="000000"/>
          <w:sz w:val="28"/>
          <w:u w:val="none"/>
        </w:rPr>
        <w:t>не представил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в налоговый орган </w:t>
      </w:r>
      <w:r>
        <w:rPr>
          <w:rFonts w:ascii="Times New Roman" w:hAnsi="Times New Roman"/>
          <w:b w:val="0"/>
          <w:color w:val="000000"/>
          <w:sz w:val="28"/>
          <w:u w:val="none"/>
        </w:rPr>
        <w:t>заявление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настоящим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strike w:val="0"/>
          <w:color w:val="000000"/>
          <w:sz w:val="28"/>
          <w:u w:color="000000" w:val="none"/>
        </w:rPr>
        <w:t>Кодексом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u w:val="none"/>
        </w:rPr>
        <w:t>и</w:t>
      </w:r>
      <w:r>
        <w:rPr>
          <w:rFonts w:ascii="Times New Roman" w:hAnsi="Times New Roman"/>
          <w:b w:val="0"/>
          <w:color w:val="000000"/>
          <w:sz w:val="28"/>
        </w:rPr>
        <w:t xml:space="preserve"> другими федеральными законами, начиная с налогового периода, в котором у налогоплательщика возникло право на налоговую льготу.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Таким образом, применение налоговой льготы не может быть ограничено исключительно соблюдением уведомительного порядка.</w:t>
      </w:r>
    </w:p>
    <w:p w14:paraId="0C000000">
      <w:pPr>
        <w:widowControl w:val="1"/>
        <w:pBdr>
          <w:top w:color="FFFFFF" w:space="0" w:sz="4" w:val="single"/>
          <w:left w:color="FFFFFF" w:space="0" w:sz="4" w:val="single"/>
          <w:bottom w:color="FFFFFF" w:space="31" w:sz="4" w:val="single"/>
          <w:right w:color="FFFFFF" w:space="0" w:sz="4" w:val="single"/>
        </w:pBdr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</w:t>
      </w:r>
      <w:r>
        <w:rPr>
          <w:rFonts w:ascii="Times New Roman" w:hAnsi="Times New Roman"/>
          <w:b w:val="0"/>
          <w:sz w:val="28"/>
        </w:rPr>
        <w:t xml:space="preserve">аконопроект состоит из 2 статей. Статьей 1 законопроекта вносятся изменения в </w:t>
      </w:r>
      <w:r>
        <w:rPr>
          <w:rFonts w:ascii="Times New Roman" w:hAnsi="Times New Roman"/>
          <w:b w:val="0"/>
          <w:sz w:val="28"/>
        </w:rPr>
        <w:t xml:space="preserve">статью 2.4 Закона Новосибирской области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 xml:space="preserve">, предусматривающее применение беззаявительного порядка предоставления налоговой льготы. Статьей 2 определяется порядок вступления Закона области в силу. </w:t>
      </w:r>
    </w:p>
    <w:p w14:paraId="0D000000">
      <w:pPr>
        <w:widowControl w:val="1"/>
        <w:pBdr>
          <w:top w:color="FFFFFF" w:space="0" w:sz="4" w:val="single"/>
          <w:left w:color="FFFFFF" w:space="0" w:sz="4" w:val="single"/>
          <w:bottom w:color="FFFFFF" w:space="31" w:sz="4" w:val="single"/>
          <w:right w:color="FFFFFF" w:space="0" w:sz="4" w:val="single"/>
        </w:pBdr>
        <w:spacing w:after="0" w:line="240" w:lineRule="auto"/>
        <w:ind w:firstLine="709"/>
        <w:jc w:val="both"/>
        <w:rPr>
          <w:b w:val="0"/>
        </w:rPr>
      </w:pPr>
      <w:r>
        <w:rPr>
          <w:rFonts w:ascii="Times New Roman" w:hAnsi="Times New Roman"/>
          <w:b w:val="0"/>
          <w:sz w:val="28"/>
        </w:rPr>
        <w:t>Проект закона не подлежит оценке регулирующего воздействия.</w:t>
      </w:r>
    </w:p>
    <w:sectPr>
      <w:headerReference r:id="rId2" w:type="default"/>
      <w:headerReference r:id="rId1" w:type="even"/>
      <w:pgSz w:h="16838" w:orient="portrait" w:w="11906"/>
      <w:pgMar w:bottom="709" w:footer="709" w:gutter="0" w:header="709" w:left="1134" w:right="567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framePr w:h="0" w:hAnchor="margin" w:hSpace="0" w:vAnchor="text" w:vSpace="0" w:wrap="around" w:xAlign="center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framePr w:h="0" w:hAnchor="margin" w:hSpace="0" w:vAnchor="text" w:vSpace="0" w:wrap="around" w:xAlign="center" w:y="-115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line="276" w:lineRule="auto"/>
      <w:ind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No Spacing"/>
    <w:link w:val="Style_8_ch"/>
    <w:rPr>
      <w:sz w:val="22"/>
    </w:rPr>
  </w:style>
  <w:style w:styleId="Style_8_ch" w:type="character">
    <w:name w:val="No Spacing"/>
    <w:link w:val="Style_8"/>
    <w:rPr>
      <w:sz w:val="22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3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rev_ann"/>
    <w:basedOn w:val="Style_3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rev_ann"/>
    <w:basedOn w:val="Style_3_ch"/>
    <w:link w:val="Style_11"/>
    <w:rPr>
      <w:rFonts w:ascii="Times New Roman" w:hAnsi="Times New Roman"/>
      <w:sz w:val="24"/>
    </w:rPr>
  </w:style>
  <w:style w:styleId="Style_12" w:type="paragraph">
    <w:name w:val="List Paragraph"/>
    <w:basedOn w:val="Style_3"/>
    <w:link w:val="Style_12_ch"/>
    <w:pPr>
      <w:widowControl w:val="1"/>
      <w:ind w:left="720"/>
    </w:pPr>
  </w:style>
  <w:style w:styleId="Style_12_ch" w:type="character">
    <w:name w:val="List Paragraph"/>
    <w:basedOn w:val="Style_3_ch"/>
    <w:link w:val="Style_12"/>
  </w:style>
  <w:style w:styleId="Style_13" w:type="paragraph">
    <w:name w:val="ConsPlusNormal"/>
    <w:link w:val="Style_13_ch"/>
    <w:rPr>
      <w:rFonts w:ascii="Times New Roman" w:hAnsi="Times New Roman"/>
      <w:sz w:val="28"/>
    </w:rPr>
  </w:style>
  <w:style w:styleId="Style_13_ch" w:type="character">
    <w:name w:val="ConsPlusNormal"/>
    <w:link w:val="Style_13"/>
    <w:rPr>
      <w:rFonts w:ascii="Times New Roman" w:hAnsi="Times New Roman"/>
      <w:sz w:val="28"/>
    </w:rPr>
  </w:style>
  <w:style w:styleId="Style_14" w:type="paragraph">
    <w:name w:val="Знак"/>
    <w:basedOn w:val="Style_3"/>
    <w:link w:val="Style_14_ch"/>
    <w:pPr>
      <w:widowControl w:val="1"/>
      <w:spacing w:after="160" w:line="240" w:lineRule="exact"/>
      <w:ind w:left="26"/>
    </w:pPr>
    <w:rPr>
      <w:rFonts w:ascii="Times New Roman" w:hAnsi="Times New Roman"/>
      <w:sz w:val="24"/>
    </w:rPr>
  </w:style>
  <w:style w:styleId="Style_14_ch" w:type="character">
    <w:name w:val="Знак"/>
    <w:basedOn w:val="Style_3_ch"/>
    <w:link w:val="Style_14"/>
    <w:rPr>
      <w:rFonts w:ascii="Times New Roman" w:hAnsi="Times New Roman"/>
      <w:sz w:val="24"/>
    </w:rPr>
  </w:style>
  <w:style w:styleId="Style_15" w:type="paragraph">
    <w:name w:val="footer"/>
    <w:basedOn w:val="Style_3"/>
    <w:link w:val="Style_15_ch"/>
    <w:pPr>
      <w:widowControl w:val="1"/>
      <w:tabs>
        <w:tab w:leader="none" w:pos="4677" w:val="center"/>
        <w:tab w:leader="none" w:pos="9355" w:val="right"/>
      </w:tabs>
      <w:ind/>
    </w:pPr>
  </w:style>
  <w:style w:styleId="Style_15_ch" w:type="character">
    <w:name w:val="footer"/>
    <w:basedOn w:val="Style_3_ch"/>
    <w:link w:val="Style_15"/>
  </w:style>
  <w:style w:styleId="Style_16" w:type="paragraph">
    <w:name w:val="Обычный1"/>
    <w:link w:val="Style_16_ch"/>
    <w:rPr>
      <w:sz w:val="22"/>
    </w:rPr>
  </w:style>
  <w:style w:styleId="Style_16_ch" w:type="character">
    <w:name w:val="Обычный1"/>
    <w:link w:val="Style_16"/>
    <w:rPr>
      <w:sz w:val="22"/>
    </w:rPr>
  </w:style>
  <w:style w:styleId="Style_17" w:type="paragraph">
    <w:name w:val="ConsPlusTitle"/>
    <w:link w:val="Style_17_ch"/>
    <w:pPr>
      <w:widowControl w:val="0"/>
      <w:ind/>
    </w:pPr>
    <w:rPr>
      <w:rFonts w:ascii="Times New Roman" w:hAnsi="Times New Roman"/>
      <w:b w:val="1"/>
      <w:sz w:val="28"/>
    </w:rPr>
  </w:style>
  <w:style w:styleId="Style_17_ch" w:type="character">
    <w:name w:val="ConsPlusTitle"/>
    <w:link w:val="Style_17"/>
    <w:rPr>
      <w:rFonts w:ascii="Times New Roman" w:hAnsi="Times New Roman"/>
      <w:b w:val="1"/>
      <w:sz w:val="28"/>
    </w:rPr>
  </w:style>
  <w:style w:styleId="Style_18" w:type="paragraph">
    <w:name w:val="Default"/>
    <w:link w:val="Style_18_ch"/>
    <w:rPr>
      <w:rFonts w:ascii="Times New Roman" w:hAnsi="Times New Roman"/>
      <w:sz w:val="24"/>
    </w:rPr>
  </w:style>
  <w:style w:styleId="Style_18_ch" w:type="character">
    <w:name w:val="Default"/>
    <w:link w:val="Style_18"/>
    <w:rPr>
      <w:rFonts w:ascii="Times New Roman" w:hAnsi="Times New Roman"/>
      <w:sz w:val="24"/>
    </w:rPr>
  </w:style>
  <w:style w:styleId="Style_19" w:type="paragraph">
    <w:name w:val="toc 3"/>
    <w:next w:val="Style_3"/>
    <w:link w:val="Style_19_ch"/>
    <w:uiPriority w:val="39"/>
    <w:pPr>
      <w:widowControl w:val="1"/>
      <w:ind w:left="400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Гиперссылка1"/>
    <w:link w:val="Style_20_ch"/>
    <w:rPr>
      <w:color w:val="0000FF"/>
      <w:u w:val="single"/>
    </w:rPr>
  </w:style>
  <w:style w:styleId="Style_20_ch" w:type="character">
    <w:name w:val="Гиперссылка1"/>
    <w:link w:val="Style_20"/>
    <w:rPr>
      <w:color w:val="0000FF"/>
      <w:u w:val="single"/>
    </w:rPr>
  </w:style>
  <w:style w:styleId="Style_21" w:type="paragraph">
    <w:name w:val="heading 5"/>
    <w:next w:val="Style_3"/>
    <w:link w:val="Style_2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2" w:type="paragraph">
    <w:name w:val="heading 1"/>
    <w:next w:val="Style_3"/>
    <w:link w:val="Style_2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widowControl w:val="1"/>
      <w:ind w:firstLine="851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3"/>
    <w:link w:val="Style_25_ch"/>
    <w:uiPriority w:val="39"/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Основной шрифт абзаца1"/>
    <w:link w:val="Style_26_ch"/>
  </w:style>
  <w:style w:styleId="Style_26_ch" w:type="character">
    <w:name w:val="Основной шрифт абзаца1"/>
    <w:link w:val="Style_26"/>
  </w:style>
  <w:style w:styleId="Style_27" w:type="paragraph">
    <w:name w:val="Header and Footer"/>
    <w:link w:val="Style_27_ch"/>
    <w:pPr>
      <w:widowControl w:val="1"/>
      <w:ind/>
      <w:jc w:val="both"/>
    </w:pPr>
    <w:rPr>
      <w:rFonts w:ascii="XO Thames" w:hAnsi="XO Thames"/>
      <w:sz w:val="28"/>
    </w:rPr>
  </w:style>
  <w:style w:styleId="Style_27_ch" w:type="character">
    <w:name w:val="Header and Footer"/>
    <w:link w:val="Style_27"/>
    <w:rPr>
      <w:rFonts w:ascii="XO Thames" w:hAnsi="XO Thames"/>
      <w:sz w:val="28"/>
    </w:rPr>
  </w:style>
  <w:style w:styleId="Style_28" w:type="paragraph">
    <w:name w:val="toc 9"/>
    <w:next w:val="Style_3"/>
    <w:link w:val="Style_28_ch"/>
    <w:uiPriority w:val="39"/>
    <w:pPr>
      <w:widowControl w:val="1"/>
      <w:ind w:left="1600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toc 8"/>
    <w:next w:val="Style_3"/>
    <w:link w:val="Style_29_ch"/>
    <w:uiPriority w:val="39"/>
    <w:pPr>
      <w:widowControl w:val="1"/>
      <w:ind w:left="1400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0" w:type="paragraph">
    <w:name w:val="Balloon Text"/>
    <w:basedOn w:val="Style_3"/>
    <w:link w:val="Style_30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30_ch" w:type="character">
    <w:name w:val="Balloon Text"/>
    <w:basedOn w:val="Style_3_ch"/>
    <w:link w:val="Style_30"/>
    <w:rPr>
      <w:rFonts w:ascii="Tahoma" w:hAnsi="Tahoma"/>
      <w:sz w:val="16"/>
    </w:rPr>
  </w:style>
  <w:style w:styleId="Style_31" w:type="paragraph">
    <w:name w:val="toc 5"/>
    <w:next w:val="Style_3"/>
    <w:link w:val="Style_31_ch"/>
    <w:uiPriority w:val="39"/>
    <w:pPr>
      <w:widowControl w:val="1"/>
      <w:ind w:left="800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Normal (Web)"/>
    <w:basedOn w:val="Style_3"/>
    <w:link w:val="Style_3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2_ch" w:type="character">
    <w:name w:val="Normal (Web)"/>
    <w:basedOn w:val="Style_3_ch"/>
    <w:link w:val="Style_32"/>
    <w:rPr>
      <w:rFonts w:ascii="Times New Roman" w:hAnsi="Times New Roman"/>
      <w:sz w:val="24"/>
    </w:rPr>
  </w:style>
  <w:style w:styleId="Style_33" w:type="paragraph">
    <w:name w:val="Subtitle"/>
    <w:next w:val="Style_3"/>
    <w:link w:val="Style_3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2" w:type="paragraph">
    <w:name w:val="Номер страницы1"/>
    <w:basedOn w:val="Style_26"/>
    <w:link w:val="Style_2_ch"/>
  </w:style>
  <w:style w:styleId="Style_2_ch" w:type="character">
    <w:name w:val="Номер страницы1"/>
    <w:basedOn w:val="Style_26_ch"/>
    <w:link w:val="Style_2"/>
  </w:style>
  <w:style w:styleId="Style_34" w:type="paragraph">
    <w:name w:val="Default Paragraph Font"/>
    <w:link w:val="Style_34_ch"/>
  </w:style>
  <w:style w:styleId="Style_34_ch" w:type="character">
    <w:name w:val="Default Paragraph Font"/>
    <w:link w:val="Style_34"/>
  </w:style>
  <w:style w:styleId="Style_35" w:type="paragraph">
    <w:name w:val="Title"/>
    <w:next w:val="Style_3"/>
    <w:link w:val="Style_3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5_ch" w:type="character">
    <w:name w:val="Title"/>
    <w:link w:val="Style_35"/>
    <w:rPr>
      <w:rFonts w:ascii="XO Thames" w:hAnsi="XO Thames"/>
      <w:b w:val="1"/>
      <w:caps w:val="1"/>
      <w:sz w:val="40"/>
    </w:rPr>
  </w:style>
  <w:style w:styleId="Style_36" w:type="paragraph">
    <w:name w:val="heading 4"/>
    <w:next w:val="Style_3"/>
    <w:link w:val="Style_3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6_ch" w:type="character">
    <w:name w:val="heading 4"/>
    <w:link w:val="Style_36"/>
    <w:rPr>
      <w:rFonts w:ascii="XO Thames" w:hAnsi="XO Thames"/>
      <w:b w:val="1"/>
      <w:sz w:val="24"/>
    </w:rPr>
  </w:style>
  <w:style w:styleId="Style_37" w:type="paragraph">
    <w:name w:val="heading 2"/>
    <w:next w:val="Style_3"/>
    <w:link w:val="Style_37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7_ch" w:type="character">
    <w:name w:val="heading 2"/>
    <w:link w:val="Style_37"/>
    <w:rPr>
      <w:rFonts w:ascii="XO Thames" w:hAnsi="XO Thames"/>
      <w:b w:val="1"/>
      <w:sz w:val="28"/>
    </w:rPr>
  </w:style>
  <w:style w:default="1" w:styleId="Style_3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2026-02-17T01:39:00Z</dcterms:created>
  <dcterms:modified xsi:type="dcterms:W3CDTF">2026-06-04T04:23:24Z</dcterms:modified>
</cp:coreProperties>
</file>